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920"/>
        <w:gridCol w:w="4820"/>
      </w:tblGrid>
      <w:tr>
        <w:tblPrEx/>
        <w:trPr/>
        <w:tc>
          <w:tcPr>
            <w:tcW w:w="5920" w:type="dxa"/>
            <w:textDirection w:val="lrTb"/>
            <w:noWrap w:val="false"/>
          </w:tcPr>
          <w:p>
            <w:pPr>
              <w:ind w:firstLine="851"/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генерального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иректора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 техническим вопросам–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главный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А.И.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Таранков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«__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_»_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 2024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ind w:firstLine="851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  <w:t xml:space="preserve">ТЕХНИЧЕСКОЕ ЗАДАНИЕ</w:t>
      </w: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r>
    </w:p>
    <w:p>
      <w:pPr>
        <w:ind w:firstLine="851"/>
        <w:jc w:val="center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на проведение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периодического медицинского осмотра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вредных и (или) опасных производственных факторов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</w:r>
    </w:p>
    <w:p>
      <w:pPr>
        <w:ind w:firstLine="851"/>
        <w:jc w:val="center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</w:r>
    </w:p>
    <w:p>
      <w:pPr>
        <w:ind w:firstLine="851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  <w:t xml:space="preserve">1. Общие положения.</w:t>
      </w: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</w:rPr>
        <w:t xml:space="preserve">1.1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</w:rPr>
        <w:t xml:space="preserve">.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</w:rPr>
        <w:t xml:space="preserve"> Заказчик: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АО «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Россети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Сибирь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Тываэнерго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».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</w:rPr>
        <w:t xml:space="preserve">1.2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</w:rPr>
        <w:t xml:space="preserve">.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</w:rPr>
        <w:t xml:space="preserve">Предмет закупки: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проведение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периодического медицинского осмотра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вредных и (или) опасных производственных факторов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для нужд АО «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Россети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Сибирь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Тываэнерго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».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1.3.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Предмет договора: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Исполнитель обязуется оказать следующие услуги: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 проведению предварительных и периодических медицинских осмотров работ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ников 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», согласно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приказу Минздрава РФ от 28 января 2021г. № 29Н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«Об утверждении перечней вредных и (ил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ваний) работников, занятых на тяжелых работах и на работах с вредными и (или) опасными условиями груда, приказу Минздрава РФ от 13.11.2012г., №911н «Об утверждении порядка оказания медицинской помощи при острых и хронических профессиональных заболеваниях»</w:t>
      </w:r>
      <w:r>
        <w:rPr>
          <w:rFonts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 соответствии с Приложением №1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 случае увольнения работников, включенных в списки для прохождения периодического медицинского осмотра (ПМО), Заказчик вправе не менее чем за 14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календарных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дней до начала его проведения направить информацию Исполнителю об изменении списка работников.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</w:p>
    <w:p>
      <w:pPr>
        <w:pStyle w:val="706"/>
        <w:numPr>
          <w:ilvl w:val="1"/>
          <w:numId w:val="10"/>
        </w:numPr>
        <w:ind w:left="0" w:firstLine="709"/>
        <w:jc w:val="both"/>
        <w:keepNext/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Сроки и условия оказания услуг: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1.4.1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Исполнитель обязан оказать Услуги с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даты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заключения договора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до 30.12.2024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706"/>
        <w:numPr>
          <w:ilvl w:val="2"/>
          <w:numId w:val="11"/>
        </w:numPr>
        <w:ind w:left="0"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Услуги оказываются в помещении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Заказчика по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следующим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адресам: Республика Тыва г. Ак-Довурак улица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Монгуш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Марата,1 и Республика Тыва г. Кызыл улица Колхозная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2А.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.3.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лан проведения перио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дического медицинского осмотра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работников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на 2024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766" w:type="dxa"/>
        <w:tblInd w:w="392" w:type="dxa"/>
        <w:tblLook w:val="04A0" w:firstRow="1" w:lastRow="0" w:firstColumn="1" w:lastColumn="0" w:noHBand="0" w:noVBand="1"/>
      </w:tblPr>
      <w:tblGrid>
        <w:gridCol w:w="3969"/>
        <w:gridCol w:w="2375"/>
        <w:gridCol w:w="3422"/>
      </w:tblGrid>
      <w:tr>
        <w:tblPrEx/>
        <w:trPr>
          <w:trHeight w:val="539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firstLine="3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W w:w="2375" w:type="dxa"/>
            <w:vAlign w:val="center"/>
            <w:textDirection w:val="lrTb"/>
            <w:noWrap w:val="false"/>
          </w:tcPr>
          <w:p>
            <w:pPr>
              <w:ind w:right="-143" w:firstLine="3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-143" w:firstLine="3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персонала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W w:w="3422" w:type="dxa"/>
            <w:vAlign w:val="center"/>
            <w:textDirection w:val="lrTb"/>
            <w:noWrap w:val="false"/>
          </w:tcPr>
          <w:p>
            <w:pPr>
              <w:ind w:firstLine="3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Период проведения ПМО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2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3969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АО «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Сибирь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Тываэнерго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2375" w:type="dxa"/>
            <w:vAlign w:val="center"/>
            <w:textDirection w:val="lrTb"/>
            <w:noWrap w:val="false"/>
          </w:tcPr>
          <w:p>
            <w:pPr>
              <w:ind w:firstLine="34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187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3422" w:type="dxa"/>
            <w:vAlign w:val="center"/>
            <w:textDirection w:val="lrTb"/>
            <w:noWrap w:val="false"/>
          </w:tcPr>
          <w:p>
            <w:pPr>
              <w:ind w:firstLine="34"/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август-октябрь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706"/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Предельная Цена настоящего Договора составляет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927643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девятьсот двадцать семь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тысяч шестьсот сорок три рубля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) 08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копеек без НДС (не облагается).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 выполнении задания Исполнитель обязуется принимать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к исполнению рекомендации, предлагаемые Заказчиком по предмету настоящего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Заказчик вправе в любое время проверять ход 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качество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оказания,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Исполнителем у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слуг, не вмешиваясь в его деятельность.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Стороны обязуются немедленно информировать друг друга об обстоятельствах,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препятствующих оказанию услуг, для своевременного принятия мер по их устранению.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Услуги считаются оказанными после подписания Сторонами Акта об оказании услуг.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Не позднее 5 (пяти) календарных дней с момента проведения медицинского осмотра 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Исполнитель передает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Заказчику подписанный со своей с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тороны Акт об оказании услуг. Заказчик должен подписать Акт об оказании услуг в течение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15 (пятнадцати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) календарных дней с момента его получения, либо в тот же срок предоставить Исполнителю мотивированный отказ от приемки оказанных услуг, в том случае, если выявлены недостатки в оказании услуг Исполнителем.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10.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 итогам </w:t>
      </w:r>
      <w:r>
        <w:rPr>
          <w:rFonts w:ascii="Times New Roman" w:hAnsi="Times New Roman"/>
          <w:sz w:val="24"/>
          <w:szCs w:val="24"/>
        </w:rPr>
        <w:t xml:space="preserve">проведенного периодического медицинского осмотра (обследования)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Исполнитель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течение 15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пятнадцати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календарных дней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 дня его окончания должен вынести врачебное решение 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составить заключительный акт.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1.4.11. </w:t>
      </w:r>
      <w:r>
        <w:rPr>
          <w:rFonts w:ascii="Times New Roman" w:hAnsi="Times New Roman"/>
          <w:sz w:val="24"/>
          <w:szCs w:val="24"/>
        </w:rPr>
        <w:t xml:space="preserve">Заключительный акт по результатам проведенного периодического медицинского осмотра (обследования) (в том числе в электронной форме) составить в пяти экземплярах и направить в течение 5 рабочих дней от даты утверждения акта работодателю, в центр </w:t>
      </w:r>
      <w:r>
        <w:rPr>
          <w:rFonts w:ascii="Times New Roman" w:hAnsi="Times New Roman"/>
          <w:sz w:val="24"/>
          <w:szCs w:val="24"/>
        </w:rPr>
        <w:t xml:space="preserve">профпатологии</w:t>
      </w:r>
      <w:r>
        <w:rPr>
          <w:rFonts w:ascii="Times New Roman" w:hAnsi="Times New Roman"/>
          <w:sz w:val="24"/>
          <w:szCs w:val="24"/>
        </w:rPr>
        <w:t xml:space="preserve"> субъекта Российской Федерации, Фонд социального страхования, в территориальный орган Федеральной службы по надзору в сфере защиты прав потребителей и благополучия человека.</w:t>
      </w:r>
      <w:r>
        <w:rPr>
          <w:rFonts w:ascii="Times New Roman" w:hAnsi="Times New Roman"/>
          <w:sz w:val="24"/>
          <w:szCs w:val="24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/>
          <w:sz w:val="24"/>
          <w:szCs w:val="24"/>
        </w:rPr>
        <w:t xml:space="preserve">1.4.12. Согласовать заключительный акт по результатам проведенного периодического медицинского осмотра (обследования) в территориальном органе Федеральной службы по надзору в сфере защиты прав потребителей и благополучия человека по Республике Тыва.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851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1"/>
          <w:numId w:val="12"/>
        </w:numPr>
        <w:ind w:left="0"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Качество услуг: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1.5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.1.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Проведение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периодического медицинского осмотра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вредных и (или) опасных производственных факторов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является завершенным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для вида работ, выполняемых работником, а также обусловленных вредными и опасными факторами условий труда.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1.5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.2.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Исполнитель обязан обеспечить проведение медицинского осмотра квалифицированным персоналом.</w:t>
      </w: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1.5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.3. 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В состав врачебной комиссии включаются врач-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профпатолог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, а также врачи-специалисты, прошедшие в установленном порядке повышение квалификации по специальности "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профпатология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" или имеющие действующий сертификат по специальности "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профпатология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".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</w:r>
    </w:p>
    <w:p>
      <w:pPr>
        <w:ind w:firstLine="851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706"/>
        <w:numPr>
          <w:ilvl w:val="0"/>
          <w:numId w:val="8"/>
        </w:numPr>
        <w:ind w:left="0"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0"/>
      </w:pPr>
      <w:r/>
      <w:bookmarkStart w:id="0" w:name="_Toc176765757"/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Требования к выполнению </w:t>
      </w:r>
      <w:bookmarkEnd w:id="0"/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услуг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2.1.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Услуги считаются оказанными после подписания Сторонами Акта об оказании услуг и Заключительного акта по результатам прохождения периодического медицинского осмотра.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2.2.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Исполнитель вправе отказаться от исполнения обязательств по договору лишь при условии полного возмещения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Заказчику убытков.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  <w:t xml:space="preserve">На работника, проходящего периодический осмотр, в медицинской организации оформляются следующие документы:</w:t>
      </w:r>
      <w:r>
        <w:rPr>
          <w:rFonts w:ascii="Times New Roman" w:hAnsi="Times New Roman" w:eastAsia="Times New Roman" w:cs="Calibri"/>
          <w:sz w:val="24"/>
          <w:szCs w:val="24"/>
          <w:lang w:eastAsia="ru-RU"/>
        </w:rPr>
        <w:t xml:space="preserve"> медицинская карта амбулаторного больного</w:t>
      </w: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  <w:t xml:space="preserve">, паспорт здоровья и заключение.</w:t>
      </w: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  <w:t xml:space="preserve">2.4.</w:t>
      </w: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 результатам проведенного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профосмотра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при необходимости проведения работнику дополнительного обследования для выдачи заключения о профпригодности, Исполнитель обязан дать направление работнику в соответствующее медицинское учреждение для прохождения им дополнительного обследования.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851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color w:val="262626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Calibri"/>
          <w:b/>
          <w:color w:val="262626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Требования к исполнителю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3.1.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Обязательное н</w:t>
      </w:r>
      <w:bookmarkStart w:id="1" w:name="_GoBack"/>
      <w:r/>
      <w:bookmarkEnd w:id="1"/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аличие лицензии на осуществление медицинской деятельности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Оказать у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слуги в полном объеме и в указанный срок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с надлежащим качеством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3.3. Сообщать по требованию Заказчика все сведения 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ходе выполнения его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указаний.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3.4. Исполнитель обязан немедленно предупредить Заказчика и до получения от него    указаний приостановить оказание услуг при обнаружении: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а) возможных неблагоприятных для Заказч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ика последствий выполнения его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указаний о способе оказания услуги;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3.5. Исполнитель, не пред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упредивший Заказчика об указанных обстоятельствах либо продолживший оказание услуг, не дожидаясь ответа или, несмотря на своевременное указание Заказчика о прекращении оказания услуг, не вправе при возникновении спора ссылаться на указанные обстоятельства.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851"/>
        <w:jc w:val="both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4. Требования к объему документации, предоставляемой к закупке для оценки предложения по лоту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Участник должен подготовить следующие документы: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keepNext/>
        <w:spacing w:after="0" w:line="240" w:lineRule="auto"/>
        <w:widowControl w:val="off"/>
        <w:tabs>
          <w:tab w:val="left" w:pos="2552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ицензию на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осуществление медицинской деятельности с указанием видов работ входящих в предмет закупки (периодический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мед.осмотр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103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969"/>
        <w:gridCol w:w="2127"/>
        <w:gridCol w:w="2409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34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45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</w:tr>
      <w:tr>
        <w:tblPrEx/>
        <w:trPr>
          <w:trHeight w:val="1451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Заместитель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главного инженера – начальник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с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лужбы производственной безопасности и производственного контроля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АО «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Россети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Сибирь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Тываэнерго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»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Н.Н.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Кудрявцев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</w:tr>
      <w:tr>
        <w:tblPrEx/>
        <w:trPr>
          <w:trHeight w:val="1402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ind w:firstLine="34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Заместитель главного инженера - начальник управления производственной безопасности и производственного контроля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 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ПАО «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Россети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Сибирь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»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Е.А.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Вельман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</w:tr>
    </w:tbl>
    <w:p>
      <w:pPr>
        <w:ind w:firstLine="851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</w:t>
    </w:r>
    <w:r>
      <w:fldChar w:fldCharType="end"/>
    </w:r>
    <w:r/>
  </w:p>
  <w:p>
    <w:pPr>
      <w:pStyle w:val="7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387" w:hanging="525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596" w:hanging="525"/>
      </w:pPr>
      <w:rPr>
        <w:rFonts w:hint="default"/>
      </w:rPr>
    </w:lvl>
    <w:lvl w:ilvl="2">
      <w:start w:val="4"/>
      <w:numFmt w:val="decimal"/>
      <w:isLgl w:val="false"/>
      <w:suff w:val="tab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11"/>
  </w:num>
  <w:num w:numId="9">
    <w:abstractNumId w:val="3"/>
  </w:num>
  <w:num w:numId="10">
    <w:abstractNumId w:val="8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7"/>
    <w:link w:val="696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95"/>
    <w:next w:val="69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97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95"/>
    <w:next w:val="69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97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95"/>
    <w:next w:val="69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97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5"/>
    <w:next w:val="69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97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5"/>
    <w:next w:val="69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5"/>
    <w:next w:val="69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5"/>
    <w:next w:val="69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5"/>
    <w:next w:val="69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7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95"/>
    <w:next w:val="69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97"/>
    <w:link w:val="34"/>
    <w:uiPriority w:val="10"/>
    <w:rPr>
      <w:sz w:val="48"/>
      <w:szCs w:val="48"/>
    </w:rPr>
  </w:style>
  <w:style w:type="paragraph" w:styleId="36">
    <w:name w:val="Subtitle"/>
    <w:basedOn w:val="695"/>
    <w:next w:val="69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97"/>
    <w:link w:val="36"/>
    <w:uiPriority w:val="11"/>
    <w:rPr>
      <w:sz w:val="24"/>
      <w:szCs w:val="24"/>
    </w:rPr>
  </w:style>
  <w:style w:type="paragraph" w:styleId="38">
    <w:name w:val="Quote"/>
    <w:basedOn w:val="695"/>
    <w:next w:val="69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5"/>
    <w:next w:val="69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9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97"/>
    <w:link w:val="42"/>
    <w:uiPriority w:val="99"/>
  </w:style>
  <w:style w:type="character" w:styleId="45">
    <w:name w:val="Footer Char"/>
    <w:basedOn w:val="697"/>
    <w:link w:val="700"/>
    <w:uiPriority w:val="99"/>
  </w:style>
  <w:style w:type="paragraph" w:styleId="46">
    <w:name w:val="Caption"/>
    <w:basedOn w:val="695"/>
    <w:next w:val="6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00"/>
    <w:uiPriority w:val="99"/>
  </w:style>
  <w:style w:type="table" w:styleId="48">
    <w:name w:val="Table Grid"/>
    <w:basedOn w:val="69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9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97"/>
    <w:uiPriority w:val="99"/>
    <w:unhideWhenUsed/>
    <w:rPr>
      <w:vertAlign w:val="superscript"/>
    </w:rPr>
  </w:style>
  <w:style w:type="paragraph" w:styleId="178">
    <w:name w:val="endnote text"/>
    <w:basedOn w:val="69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97"/>
    <w:uiPriority w:val="99"/>
    <w:semiHidden/>
    <w:unhideWhenUsed/>
    <w:rPr>
      <w:vertAlign w:val="superscript"/>
    </w:rPr>
  </w:style>
  <w:style w:type="paragraph" w:styleId="181">
    <w:name w:val="toc 1"/>
    <w:basedOn w:val="695"/>
    <w:next w:val="69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95"/>
    <w:next w:val="69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95"/>
    <w:next w:val="69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95"/>
    <w:next w:val="69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95"/>
    <w:next w:val="69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95"/>
    <w:next w:val="69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95"/>
    <w:next w:val="69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95"/>
    <w:next w:val="69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95"/>
    <w:next w:val="69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95"/>
    <w:next w:val="695"/>
    <w:uiPriority w:val="99"/>
    <w:unhideWhenUsed/>
    <w:pPr>
      <w:spacing w:after="0" w:afterAutospacing="0"/>
    </w:pPr>
  </w:style>
  <w:style w:type="paragraph" w:styleId="695" w:default="1">
    <w:name w:val="Normal"/>
    <w:qFormat/>
    <w:rPr>
      <w:rFonts w:ascii="Calibri" w:hAnsi="Calibri" w:eastAsia="Calibri" w:cs="Times New Roman"/>
    </w:rPr>
  </w:style>
  <w:style w:type="paragraph" w:styleId="696">
    <w:name w:val="Heading 1"/>
    <w:basedOn w:val="695"/>
    <w:next w:val="695"/>
    <w:link w:val="702"/>
    <w:uiPriority w:val="9"/>
    <w:qFormat/>
    <w:pPr>
      <w:keepNext/>
      <w:spacing w:before="240" w:after="60"/>
      <w:outlineLvl w:val="0"/>
    </w:pPr>
    <w:rPr>
      <w:rFonts w:ascii="Cambria" w:hAnsi="Cambria" w:eastAsia="Times New Roman"/>
      <w:b/>
      <w:bCs/>
      <w:sz w:val="32"/>
      <w:szCs w:val="32"/>
    </w:rPr>
  </w:style>
  <w:style w:type="character" w:styleId="697" w:default="1">
    <w:name w:val="Default Paragraph Font"/>
    <w:uiPriority w:val="1"/>
    <w:semiHidden/>
    <w:unhideWhenUsed/>
  </w:style>
  <w:style w:type="table" w:styleId="6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paragraph" w:styleId="700">
    <w:name w:val="Footer"/>
    <w:basedOn w:val="695"/>
    <w:link w:val="70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01" w:customStyle="1">
    <w:name w:val="Нижний колонтитул Знак"/>
    <w:basedOn w:val="697"/>
    <w:link w:val="700"/>
    <w:uiPriority w:val="99"/>
    <w:rPr>
      <w:rFonts w:ascii="Calibri" w:hAnsi="Calibri" w:eastAsia="Calibri" w:cs="Times New Roman"/>
    </w:rPr>
  </w:style>
  <w:style w:type="character" w:styleId="702" w:customStyle="1">
    <w:name w:val="Заголовок 1 Знак"/>
    <w:basedOn w:val="697"/>
    <w:link w:val="696"/>
    <w:uiPriority w:val="9"/>
    <w:rPr>
      <w:rFonts w:ascii="Cambria" w:hAnsi="Cambria" w:eastAsia="Times New Roman" w:cs="Times New Roman"/>
      <w:b/>
      <w:bCs/>
      <w:sz w:val="32"/>
      <w:szCs w:val="32"/>
    </w:rPr>
  </w:style>
  <w:style w:type="paragraph" w:styleId="703" w:customStyle="1">
    <w:name w:val="МРСК_таблица_текст"/>
    <w:basedOn w:val="695"/>
    <w:pPr>
      <w:ind w:firstLine="709"/>
      <w:jc w:val="both"/>
      <w:keepNext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704">
    <w:name w:val="Balloon Text"/>
    <w:basedOn w:val="695"/>
    <w:link w:val="70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05" w:customStyle="1">
    <w:name w:val="Текст выноски Знак"/>
    <w:basedOn w:val="697"/>
    <w:link w:val="704"/>
    <w:uiPriority w:val="99"/>
    <w:semiHidden/>
    <w:rPr>
      <w:rFonts w:ascii="Tahoma" w:hAnsi="Tahoma" w:eastAsia="Calibri" w:cs="Tahoma"/>
      <w:sz w:val="16"/>
      <w:szCs w:val="16"/>
    </w:rPr>
  </w:style>
  <w:style w:type="paragraph" w:styleId="706">
    <w:name w:val="List Paragraph"/>
    <w:basedOn w:val="695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Хакасэнерго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Маголин Илья Юрьевич</dc:creator>
  <cp:revision>13</cp:revision>
  <dcterms:created xsi:type="dcterms:W3CDTF">2024-04-23T09:44:00Z</dcterms:created>
  <dcterms:modified xsi:type="dcterms:W3CDTF">2024-05-28T02:17:30Z</dcterms:modified>
</cp:coreProperties>
</file>